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9CA30" w14:textId="52D0DFE1" w:rsidR="003D41E3" w:rsidRPr="00E8352C" w:rsidRDefault="00FC2DAD" w:rsidP="0076426C">
      <w:pPr>
        <w:jc w:val="both"/>
        <w:outlineLvl w:val="0"/>
        <w:rPr>
          <w:rFonts w:cs="Arial"/>
          <w:noProof/>
          <w:color w:val="000000" w:themeColor="text1"/>
          <w:szCs w:val="20"/>
        </w:rPr>
      </w:pPr>
      <w:r w:rsidRPr="00E8352C">
        <w:rPr>
          <w:rFonts w:cs="Arial"/>
          <w:noProof/>
          <w:color w:val="000000" w:themeColor="text1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002AA3" wp14:editId="26F782D7">
                <wp:simplePos x="0" y="0"/>
                <wp:positionH relativeFrom="page">
                  <wp:posOffset>5267960</wp:posOffset>
                </wp:positionH>
                <wp:positionV relativeFrom="topMargin">
                  <wp:posOffset>960755</wp:posOffset>
                </wp:positionV>
                <wp:extent cx="2324100" cy="844550"/>
                <wp:effectExtent l="0" t="0" r="0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B2C1B" w14:textId="2971A096" w:rsidR="00FC2DAD" w:rsidRDefault="00FC2DAD" w:rsidP="00FC2DAD">
                            <w:pPr>
                              <w:pStyle w:val="JPP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02AA3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414.8pt;margin-top:75.65pt;width:183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" stroked="f">
                <v:textbox>
                  <w:txbxContent>
                    <w:p w14:paraId="7EDB2C1B" w14:textId="2971A096" w:rsidR="00FC2DAD" w:rsidRDefault="00FC2DAD" w:rsidP="00FC2DAD">
                      <w:pPr>
                        <w:pStyle w:val="JPP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Pr="00E8352C">
        <w:rPr>
          <w:rFonts w:cs="Arial"/>
          <w:noProof/>
          <w:color w:val="000000" w:themeColor="text1"/>
          <w:szCs w:val="20"/>
        </w:rPr>
        <w:drawing>
          <wp:anchor distT="0" distB="0" distL="114300" distR="114300" simplePos="0" relativeHeight="251662336" behindDoc="1" locked="0" layoutInCell="1" allowOverlap="1" wp14:anchorId="44D05CD7" wp14:editId="088673FC">
            <wp:simplePos x="0" y="0"/>
            <wp:positionH relativeFrom="column">
              <wp:align>center</wp:align>
            </wp:positionH>
            <wp:positionV relativeFrom="paragraph">
              <wp:posOffset>-2160270</wp:posOffset>
            </wp:positionV>
            <wp:extent cx="2401200" cy="1440000"/>
            <wp:effectExtent l="0" t="0" r="0" b="0"/>
            <wp:wrapNone/>
            <wp:docPr id="8" name="Graphic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12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10640" w:type="dxa"/>
        <w:tblInd w:w="-147" w:type="dxa"/>
        <w:tblLook w:val="0000" w:firstRow="0" w:lastRow="0" w:firstColumn="0" w:lastColumn="0" w:noHBand="0" w:noVBand="0"/>
      </w:tblPr>
      <w:tblGrid>
        <w:gridCol w:w="3999"/>
        <w:gridCol w:w="1345"/>
        <w:gridCol w:w="1849"/>
        <w:gridCol w:w="661"/>
        <w:gridCol w:w="1827"/>
        <w:gridCol w:w="959"/>
      </w:tblGrid>
      <w:tr w:rsidR="00E8352C" w:rsidRPr="00E8352C" w14:paraId="0B7729E5" w14:textId="77777777" w:rsidTr="000D7F91">
        <w:trPr>
          <w:trHeight w:val="338"/>
        </w:trPr>
        <w:tc>
          <w:tcPr>
            <w:tcW w:w="4040" w:type="dxa"/>
            <w:vMerge w:val="restart"/>
          </w:tcPr>
          <w:p w14:paraId="7B39DEC7" w14:textId="77777777" w:rsidR="008A09F5" w:rsidRPr="00E8352C" w:rsidRDefault="008A09F5" w:rsidP="0076426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proofErr w:type="spellStart"/>
            <w:r w:rsidRPr="00E8352C">
              <w:rPr>
                <w:rFonts w:cs="Arial"/>
                <w:color w:val="000000" w:themeColor="text1"/>
                <w:szCs w:val="20"/>
              </w:rPr>
              <w:t>Liisa-Ly</w:t>
            </w:r>
            <w:proofErr w:type="spellEnd"/>
            <w:r w:rsidRPr="00E8352C">
              <w:rPr>
                <w:rFonts w:cs="Arial"/>
                <w:color w:val="000000" w:themeColor="text1"/>
                <w:szCs w:val="20"/>
              </w:rPr>
              <w:t xml:space="preserve"> Pakosta</w:t>
            </w:r>
          </w:p>
          <w:p w14:paraId="76246C5B" w14:textId="77777777" w:rsidR="008A09F5" w:rsidRPr="00E8352C" w:rsidRDefault="008A09F5" w:rsidP="0076426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justiitsminister</w:t>
            </w:r>
          </w:p>
          <w:p w14:paraId="44B11717" w14:textId="6E5DC6D5" w:rsidR="000D7F91" w:rsidRPr="00E8352C" w:rsidRDefault="008A09F5" w:rsidP="0076426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info@just.ee</w:t>
            </w:r>
          </w:p>
        </w:tc>
        <w:tc>
          <w:tcPr>
            <w:tcW w:w="1356" w:type="dxa"/>
          </w:tcPr>
          <w:p w14:paraId="58CFA5D8" w14:textId="77777777" w:rsidR="000D7F91" w:rsidRPr="00E8352C" w:rsidRDefault="000D7F91" w:rsidP="0076426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Teie</w:t>
            </w:r>
          </w:p>
        </w:tc>
        <w:tc>
          <w:tcPr>
            <w:tcW w:w="1868" w:type="dxa"/>
            <w:shd w:val="clear" w:color="auto" w:fill="auto"/>
          </w:tcPr>
          <w:p w14:paraId="311A3D2A" w14:textId="330248A9" w:rsidR="000D7F91" w:rsidRPr="00E8352C" w:rsidRDefault="000D7F91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554" w:type="dxa"/>
            <w:shd w:val="clear" w:color="auto" w:fill="auto"/>
          </w:tcPr>
          <w:p w14:paraId="56A94B19" w14:textId="36FFACAC" w:rsidR="000D7F91" w:rsidRPr="00E8352C" w:rsidRDefault="000D7F91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20</w:t>
            </w:r>
          </w:p>
        </w:tc>
        <w:tc>
          <w:tcPr>
            <w:tcW w:w="1851" w:type="dxa"/>
            <w:shd w:val="clear" w:color="auto" w:fill="auto"/>
          </w:tcPr>
          <w:p w14:paraId="532DC1FA" w14:textId="53411E2A" w:rsidR="000D7F91" w:rsidRPr="00E8352C" w:rsidRDefault="000D7F91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1D77795A" w14:textId="77777777" w:rsidR="000D7F91" w:rsidRPr="00E8352C" w:rsidRDefault="000D7F91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</w:tr>
      <w:tr w:rsidR="00E8352C" w:rsidRPr="00E8352C" w14:paraId="1E58ED1D" w14:textId="77777777" w:rsidTr="000D7F91">
        <w:trPr>
          <w:trHeight w:val="277"/>
        </w:trPr>
        <w:tc>
          <w:tcPr>
            <w:tcW w:w="4040" w:type="dxa"/>
            <w:vMerge/>
          </w:tcPr>
          <w:p w14:paraId="758EF281" w14:textId="77777777" w:rsidR="000D7F91" w:rsidRPr="00E8352C" w:rsidRDefault="000D7F91" w:rsidP="0076426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bookmarkStart w:id="0" w:name="_Hlk60063564"/>
          </w:p>
        </w:tc>
        <w:tc>
          <w:tcPr>
            <w:tcW w:w="1356" w:type="dxa"/>
          </w:tcPr>
          <w:p w14:paraId="07FA4789" w14:textId="77777777" w:rsidR="000D7F91" w:rsidRPr="00E8352C" w:rsidRDefault="000D7F91" w:rsidP="0076426C">
            <w:pPr>
              <w:autoSpaceDE w:val="0"/>
              <w:autoSpaceDN w:val="0"/>
              <w:adjustRightInd w:val="0"/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Meie</w:t>
            </w:r>
          </w:p>
        </w:tc>
        <w:tc>
          <w:tcPr>
            <w:tcW w:w="1868" w:type="dxa"/>
            <w:shd w:val="clear" w:color="auto" w:fill="auto"/>
          </w:tcPr>
          <w:p w14:paraId="2797123C" w14:textId="4C8EFC2B" w:rsidR="000D7F91" w:rsidRPr="00E8352C" w:rsidRDefault="008A09F5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23.08</w:t>
            </w:r>
          </w:p>
        </w:tc>
        <w:tc>
          <w:tcPr>
            <w:tcW w:w="554" w:type="dxa"/>
            <w:shd w:val="clear" w:color="auto" w:fill="auto"/>
          </w:tcPr>
          <w:p w14:paraId="69A35BDD" w14:textId="3ECAD6CF" w:rsidR="000D7F91" w:rsidRPr="00E8352C" w:rsidRDefault="000D7F91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20</w:t>
            </w:r>
            <w:r w:rsidR="005C0269" w:rsidRPr="00E8352C">
              <w:rPr>
                <w:rFonts w:cs="Arial"/>
                <w:color w:val="000000" w:themeColor="text1"/>
                <w:szCs w:val="20"/>
              </w:rPr>
              <w:t>24</w:t>
            </w:r>
          </w:p>
        </w:tc>
        <w:tc>
          <w:tcPr>
            <w:tcW w:w="1851" w:type="dxa"/>
            <w:shd w:val="clear" w:color="auto" w:fill="auto"/>
          </w:tcPr>
          <w:p w14:paraId="2A0A5C2C" w14:textId="042F06D4" w:rsidR="000D7F91" w:rsidRPr="00E8352C" w:rsidRDefault="000D7F91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 xml:space="preserve">a nr </w:t>
            </w:r>
          </w:p>
        </w:tc>
        <w:tc>
          <w:tcPr>
            <w:tcW w:w="971" w:type="dxa"/>
            <w:tcBorders>
              <w:left w:val="nil"/>
            </w:tcBorders>
            <w:shd w:val="clear" w:color="auto" w:fill="auto"/>
          </w:tcPr>
          <w:p w14:paraId="6A7ED25B" w14:textId="77777777" w:rsidR="000D7F91" w:rsidRPr="00E8352C" w:rsidRDefault="000D7F91" w:rsidP="0076426C">
            <w:pPr>
              <w:spacing w:after="120"/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</w:tr>
      <w:bookmarkEnd w:id="0"/>
    </w:tbl>
    <w:p w14:paraId="72FF1628" w14:textId="77777777" w:rsidR="00A279CA" w:rsidRPr="00E8352C" w:rsidRDefault="00A279CA" w:rsidP="0076426C">
      <w:pPr>
        <w:jc w:val="both"/>
        <w:rPr>
          <w:rFonts w:cs="Arial"/>
          <w:i/>
          <w:color w:val="000000" w:themeColor="text1"/>
          <w:szCs w:val="20"/>
          <w:lang w:eastAsia="et-EE"/>
        </w:rPr>
      </w:pPr>
    </w:p>
    <w:p w14:paraId="35D41DE8" w14:textId="77777777" w:rsidR="005C0269" w:rsidRPr="00E8352C" w:rsidRDefault="005C0269" w:rsidP="0076426C">
      <w:pPr>
        <w:jc w:val="both"/>
        <w:rPr>
          <w:rFonts w:cs="Arial"/>
          <w:color w:val="000000" w:themeColor="text1"/>
          <w:szCs w:val="20"/>
        </w:rPr>
      </w:pPr>
    </w:p>
    <w:p w14:paraId="478C8F86" w14:textId="1857418C" w:rsidR="005C0269" w:rsidRPr="00E8352C" w:rsidRDefault="005C0269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Lugupeetud </w:t>
      </w:r>
      <w:r w:rsidR="008A09F5" w:rsidRPr="00E8352C">
        <w:rPr>
          <w:rFonts w:cs="Arial"/>
          <w:color w:val="000000" w:themeColor="text1"/>
          <w:szCs w:val="20"/>
        </w:rPr>
        <w:t>Liisa – Ly Pakosta</w:t>
      </w:r>
    </w:p>
    <w:p w14:paraId="5FC1C3C3" w14:textId="77777777" w:rsidR="00D36757" w:rsidRPr="00E8352C" w:rsidRDefault="00D36757" w:rsidP="0076426C">
      <w:pPr>
        <w:jc w:val="both"/>
        <w:rPr>
          <w:rFonts w:cs="Arial"/>
          <w:color w:val="000000" w:themeColor="text1"/>
          <w:szCs w:val="20"/>
        </w:rPr>
      </w:pPr>
    </w:p>
    <w:p w14:paraId="73EC2A95" w14:textId="77777777" w:rsidR="00D36757" w:rsidRPr="00E8352C" w:rsidRDefault="00D36757" w:rsidP="0076426C">
      <w:pPr>
        <w:jc w:val="both"/>
        <w:rPr>
          <w:rFonts w:cs="Arial"/>
          <w:color w:val="000000" w:themeColor="text1"/>
          <w:szCs w:val="20"/>
        </w:rPr>
      </w:pPr>
    </w:p>
    <w:p w14:paraId="361A8112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Kooli 2a, Jõhvi aadressil asuvad Viru Maakohus, Tartu Halduskohus, Viru ringkonnaprokuratuur ja Viru kriminaalhooldusosakond.</w:t>
      </w:r>
    </w:p>
    <w:p w14:paraId="31D658AC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</w:p>
    <w:p w14:paraId="6ACA8D24" w14:textId="03B87DA4" w:rsidR="00D36757" w:rsidRPr="00E8352C" w:rsidRDefault="00D36757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Viru Maakohus ja Tartu Halduskohus leiavad, et Jõhvi kohtumaja (Kooli tn 2</w:t>
      </w:r>
      <w:r w:rsidR="00F84B0B" w:rsidRPr="00E8352C">
        <w:rPr>
          <w:rFonts w:cs="Arial"/>
          <w:color w:val="000000" w:themeColor="text1"/>
          <w:szCs w:val="20"/>
        </w:rPr>
        <w:t>a, Jõhvi</w:t>
      </w:r>
      <w:r w:rsidRPr="00E8352C">
        <w:rPr>
          <w:rFonts w:cs="Arial"/>
          <w:color w:val="000000" w:themeColor="text1"/>
          <w:szCs w:val="20"/>
        </w:rPr>
        <w:t>)</w:t>
      </w:r>
      <w:r w:rsidR="00F84B0B" w:rsidRPr="00E8352C">
        <w:rPr>
          <w:rFonts w:cs="Arial"/>
          <w:color w:val="000000" w:themeColor="text1"/>
          <w:szCs w:val="20"/>
        </w:rPr>
        <w:t xml:space="preserve"> on vajalik, et tagada õigusemõistmise kättesaadavus piirkonnas. </w:t>
      </w:r>
    </w:p>
    <w:p w14:paraId="3802A96B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</w:p>
    <w:p w14:paraId="434AC29A" w14:textId="74215655" w:rsidR="00F84B0B" w:rsidRPr="00E8352C" w:rsidRDefault="00F84B0B" w:rsidP="0076426C">
      <w:pPr>
        <w:jc w:val="both"/>
        <w:rPr>
          <w:rFonts w:cs="Arial"/>
          <w:color w:val="000000" w:themeColor="text1"/>
          <w:szCs w:val="20"/>
          <w:u w:val="single"/>
        </w:rPr>
      </w:pPr>
      <w:r w:rsidRPr="00E8352C">
        <w:rPr>
          <w:rFonts w:cs="Arial"/>
          <w:color w:val="000000" w:themeColor="text1"/>
          <w:szCs w:val="20"/>
          <w:u w:val="single"/>
        </w:rPr>
        <w:t>Hoone kinnisvarakulu</w:t>
      </w:r>
    </w:p>
    <w:p w14:paraId="625B255C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</w:p>
    <w:p w14:paraId="133DF6D1" w14:textId="388AAB4F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Kooli 2a, Jõhvi kinnisvara kulud on järgmised:</w:t>
      </w:r>
    </w:p>
    <w:p w14:paraId="43D56149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</w:p>
    <w:tbl>
      <w:tblPr>
        <w:tblW w:w="7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0"/>
        <w:gridCol w:w="1110"/>
        <w:gridCol w:w="1450"/>
        <w:gridCol w:w="1110"/>
        <w:gridCol w:w="1450"/>
      </w:tblGrid>
      <w:tr w:rsidR="00E8352C" w:rsidRPr="00E8352C" w14:paraId="5E8F55F3" w14:textId="77777777" w:rsidTr="00F84B0B">
        <w:trPr>
          <w:trHeight w:val="288"/>
        </w:trPr>
        <w:tc>
          <w:tcPr>
            <w:tcW w:w="19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4C22AD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Kooli 2a Jõhvi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DB4242" w14:textId="77777777" w:rsidR="00F84B0B" w:rsidRPr="00E8352C" w:rsidRDefault="00F84B0B" w:rsidP="0076426C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E8352C">
              <w:rPr>
                <w:rFonts w:cs="Arial"/>
                <w:b/>
                <w:bCs/>
                <w:color w:val="000000" w:themeColor="text1"/>
                <w:szCs w:val="20"/>
              </w:rPr>
              <w:t>2024</w:t>
            </w:r>
          </w:p>
        </w:tc>
        <w:tc>
          <w:tcPr>
            <w:tcW w:w="2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8997BE" w14:textId="77777777" w:rsidR="00F84B0B" w:rsidRPr="00E8352C" w:rsidRDefault="00F84B0B" w:rsidP="0076426C">
            <w:pPr>
              <w:jc w:val="both"/>
              <w:rPr>
                <w:rFonts w:cs="Arial"/>
                <w:b/>
                <w:bCs/>
                <w:color w:val="000000" w:themeColor="text1"/>
                <w:szCs w:val="20"/>
              </w:rPr>
            </w:pPr>
            <w:r w:rsidRPr="00E8352C">
              <w:rPr>
                <w:rFonts w:cs="Arial"/>
                <w:b/>
                <w:bCs/>
                <w:color w:val="000000" w:themeColor="text1"/>
                <w:szCs w:val="20"/>
              </w:rPr>
              <w:t>2025</w:t>
            </w:r>
          </w:p>
        </w:tc>
      </w:tr>
      <w:tr w:rsidR="00E8352C" w:rsidRPr="00E8352C" w14:paraId="6540A576" w14:textId="77777777" w:rsidTr="00F84B0B">
        <w:trPr>
          <w:trHeight w:val="2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BE123C5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603E6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rent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8706566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käibemaks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EC18A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 xml:space="preserve">rent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83898D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käibemaks</w:t>
            </w:r>
          </w:p>
        </w:tc>
      </w:tr>
      <w:tr w:rsidR="00E8352C" w:rsidRPr="00E8352C" w14:paraId="0C54F363" w14:textId="77777777" w:rsidTr="00F84B0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188564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Viru MK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C25240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480 587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DA4414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105 729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72A382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465 630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F78FD0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102 439</w:t>
            </w:r>
          </w:p>
        </w:tc>
      </w:tr>
      <w:tr w:rsidR="00E8352C" w:rsidRPr="00E8352C" w14:paraId="5507AFF4" w14:textId="77777777" w:rsidTr="00F84B0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9C1C1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Tartu HK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AEA12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40 200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D29007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8 844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EC2E11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38 939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B00DA1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8 567</w:t>
            </w:r>
          </w:p>
        </w:tc>
      </w:tr>
      <w:tr w:rsidR="00F84B0B" w:rsidRPr="00E8352C" w14:paraId="33460493" w14:textId="77777777" w:rsidTr="00F84B0B">
        <w:trPr>
          <w:trHeight w:val="288"/>
        </w:trPr>
        <w:tc>
          <w:tcPr>
            <w:tcW w:w="19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F61502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Kokku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590C0BF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520 787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3F431E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114 573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FEA6AB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504 569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A4CE6FB" w14:textId="77777777" w:rsidR="00F84B0B" w:rsidRPr="00E8352C" w:rsidRDefault="00F84B0B" w:rsidP="0076426C">
            <w:pPr>
              <w:jc w:val="both"/>
              <w:rPr>
                <w:rFonts w:cs="Arial"/>
                <w:color w:val="000000" w:themeColor="text1"/>
                <w:szCs w:val="20"/>
              </w:rPr>
            </w:pPr>
            <w:r w:rsidRPr="00E8352C">
              <w:rPr>
                <w:rFonts w:cs="Arial"/>
                <w:color w:val="000000" w:themeColor="text1"/>
                <w:szCs w:val="20"/>
              </w:rPr>
              <w:t>111 005</w:t>
            </w:r>
          </w:p>
        </w:tc>
      </w:tr>
    </w:tbl>
    <w:p w14:paraId="257C5F1D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</w:p>
    <w:p w14:paraId="1D7DB595" w14:textId="6FC1A4E2" w:rsidR="00F84B0B" w:rsidRPr="00E8352C" w:rsidRDefault="00F84B0B" w:rsidP="0076426C">
      <w:pPr>
        <w:jc w:val="both"/>
        <w:rPr>
          <w:rFonts w:cs="Arial"/>
          <w:color w:val="000000" w:themeColor="text1"/>
          <w:szCs w:val="20"/>
          <w:u w:val="single"/>
        </w:rPr>
      </w:pPr>
      <w:r w:rsidRPr="00E8352C">
        <w:rPr>
          <w:rFonts w:cs="Arial"/>
          <w:color w:val="000000" w:themeColor="text1"/>
          <w:szCs w:val="20"/>
          <w:u w:val="single"/>
        </w:rPr>
        <w:t>Viru Maakohus</w:t>
      </w:r>
    </w:p>
    <w:p w14:paraId="2BB18EAE" w14:textId="77777777" w:rsidR="00F84B0B" w:rsidRPr="00E8352C" w:rsidRDefault="00F84B0B" w:rsidP="0076426C">
      <w:pPr>
        <w:jc w:val="both"/>
        <w:rPr>
          <w:rFonts w:eastAsia="Times New Roman" w:cs="Arial"/>
          <w:color w:val="000000" w:themeColor="text1"/>
          <w:szCs w:val="20"/>
          <w:lang w:eastAsia="et-EE"/>
        </w:rPr>
      </w:pPr>
    </w:p>
    <w:p w14:paraId="40989112" w14:textId="523B3B6D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Viru Maakohtus on kolm kohtumaja – Narva, Jõhvi ja Rakvere. </w:t>
      </w:r>
      <w:r w:rsidR="0076426C" w:rsidRPr="00E8352C">
        <w:rPr>
          <w:rFonts w:cs="Arial"/>
          <w:color w:val="000000" w:themeColor="text1"/>
          <w:szCs w:val="20"/>
        </w:rPr>
        <w:t>Tööjaotusplaani alusel on k</w:t>
      </w:r>
      <w:r w:rsidRPr="00E8352C">
        <w:rPr>
          <w:rFonts w:cs="Arial"/>
          <w:color w:val="000000" w:themeColor="text1"/>
          <w:szCs w:val="20"/>
        </w:rPr>
        <w:t xml:space="preserve">ohtumajade teeninduspiirkonnad on järgmised: </w:t>
      </w:r>
    </w:p>
    <w:p w14:paraId="380245AB" w14:textId="3D51E880" w:rsidR="008A09F5" w:rsidRPr="00E8352C" w:rsidRDefault="0076426C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1) </w:t>
      </w:r>
      <w:r w:rsidR="008A09F5" w:rsidRPr="00E8352C">
        <w:rPr>
          <w:rFonts w:cs="Arial"/>
          <w:color w:val="000000" w:themeColor="text1"/>
          <w:szCs w:val="20"/>
        </w:rPr>
        <w:t xml:space="preserve">Jõhvi kohtumaja - Ida-Viru maakond, välja arvatud Narva linn, Sillamäe linn, Narva-Jõesuu linn; </w:t>
      </w:r>
    </w:p>
    <w:p w14:paraId="4A377AB3" w14:textId="7F11B8DE" w:rsidR="008A09F5" w:rsidRPr="00E8352C" w:rsidRDefault="0076426C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2) </w:t>
      </w:r>
      <w:r w:rsidR="008A09F5" w:rsidRPr="00E8352C">
        <w:rPr>
          <w:rFonts w:cs="Arial"/>
          <w:color w:val="000000" w:themeColor="text1"/>
          <w:szCs w:val="20"/>
        </w:rPr>
        <w:t xml:space="preserve">Narva kohtumaja – Narva linn, Sillamäe linn, Narva-Jõesuu linn; </w:t>
      </w:r>
    </w:p>
    <w:p w14:paraId="4D6B0D1A" w14:textId="448CA6DB" w:rsidR="008A09F5" w:rsidRPr="00E8352C" w:rsidRDefault="0076426C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3) </w:t>
      </w:r>
      <w:r w:rsidR="008A09F5" w:rsidRPr="00E8352C">
        <w:rPr>
          <w:rFonts w:cs="Arial"/>
          <w:color w:val="000000" w:themeColor="text1"/>
          <w:szCs w:val="20"/>
        </w:rPr>
        <w:t>Rakvere kohtumaja – Lääne-Viru maakond.</w:t>
      </w:r>
    </w:p>
    <w:p w14:paraId="1EE283C0" w14:textId="77777777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</w:p>
    <w:p w14:paraId="7AB57741" w14:textId="335187E4" w:rsidR="0076426C" w:rsidRPr="00E8352C" w:rsidRDefault="00953641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Jõhvi kohtumajas töötab 47 inimest, so 35% Viru Maakohtu personalist (kokku 136 inimest). Meie inimesed ei tööta tihti majas, mis on nende alaline teenistuskoht, aga kohas, mis on nende jaoks kodule lähemal. Jõhvis töötab 9 kohtunikku (32% kohtunikest), 11 kohtujuristi (39% juristidest, konsultantidest)</w:t>
      </w:r>
      <w:r w:rsidR="0076426C" w:rsidRPr="00E8352C">
        <w:rPr>
          <w:rFonts w:cs="Arial"/>
          <w:color w:val="000000" w:themeColor="text1"/>
          <w:szCs w:val="20"/>
        </w:rPr>
        <w:t xml:space="preserve">, 9 </w:t>
      </w:r>
      <w:r w:rsidRPr="00E8352C">
        <w:rPr>
          <w:rFonts w:cs="Arial"/>
          <w:color w:val="000000" w:themeColor="text1"/>
          <w:szCs w:val="20"/>
        </w:rPr>
        <w:t>istungisekretäri</w:t>
      </w:r>
      <w:r w:rsidR="0076426C" w:rsidRPr="00E8352C">
        <w:rPr>
          <w:rFonts w:cs="Arial"/>
          <w:color w:val="000000" w:themeColor="text1"/>
          <w:szCs w:val="20"/>
        </w:rPr>
        <w:t xml:space="preserve"> (</w:t>
      </w:r>
      <w:r w:rsidRPr="00E8352C">
        <w:rPr>
          <w:rFonts w:cs="Arial"/>
          <w:color w:val="000000" w:themeColor="text1"/>
          <w:szCs w:val="20"/>
        </w:rPr>
        <w:t>41% istungisekretäridest</w:t>
      </w:r>
      <w:r w:rsidR="0076426C" w:rsidRPr="00E8352C">
        <w:rPr>
          <w:rFonts w:cs="Arial"/>
          <w:color w:val="000000" w:themeColor="text1"/>
          <w:szCs w:val="20"/>
        </w:rPr>
        <w:t>), 5 referenti (</w:t>
      </w:r>
      <w:r w:rsidRPr="00E8352C">
        <w:rPr>
          <w:rFonts w:cs="Arial"/>
          <w:color w:val="000000" w:themeColor="text1"/>
          <w:szCs w:val="20"/>
        </w:rPr>
        <w:t>36% referentidest</w:t>
      </w:r>
      <w:r w:rsidR="0076426C" w:rsidRPr="00E8352C">
        <w:rPr>
          <w:rFonts w:cs="Arial"/>
          <w:color w:val="000000" w:themeColor="text1"/>
          <w:szCs w:val="20"/>
        </w:rPr>
        <w:t>), 4 tõlki (</w:t>
      </w:r>
      <w:r w:rsidRPr="00E8352C">
        <w:rPr>
          <w:rFonts w:cs="Arial"/>
          <w:color w:val="000000" w:themeColor="text1"/>
          <w:szCs w:val="20"/>
        </w:rPr>
        <w:t>17% tõlketeenistuse tõlkides</w:t>
      </w:r>
      <w:r w:rsidR="0076426C" w:rsidRPr="00E8352C">
        <w:rPr>
          <w:rFonts w:cs="Arial"/>
          <w:color w:val="000000" w:themeColor="text1"/>
          <w:szCs w:val="20"/>
        </w:rPr>
        <w:t xml:space="preserve">t), 4 </w:t>
      </w:r>
      <w:r w:rsidRPr="00E8352C">
        <w:rPr>
          <w:rFonts w:cs="Arial"/>
          <w:color w:val="000000" w:themeColor="text1"/>
          <w:szCs w:val="20"/>
        </w:rPr>
        <w:t>kordnik</w:t>
      </w:r>
      <w:r w:rsidR="0076426C" w:rsidRPr="00E8352C">
        <w:rPr>
          <w:rFonts w:cs="Arial"/>
          <w:color w:val="000000" w:themeColor="text1"/>
          <w:szCs w:val="20"/>
        </w:rPr>
        <w:t>ku (</w:t>
      </w:r>
      <w:r w:rsidRPr="00E8352C">
        <w:rPr>
          <w:rFonts w:cs="Arial"/>
          <w:color w:val="000000" w:themeColor="text1"/>
          <w:szCs w:val="20"/>
        </w:rPr>
        <w:t>40% kordnikest</w:t>
      </w:r>
      <w:r w:rsidR="0076426C" w:rsidRPr="00E8352C">
        <w:rPr>
          <w:rFonts w:cs="Arial"/>
          <w:color w:val="000000" w:themeColor="text1"/>
          <w:szCs w:val="20"/>
        </w:rPr>
        <w:t>), 5 kohtuülesel ametikohal olevat isikut (kommunikatsioonijuht</w:t>
      </w:r>
      <w:r w:rsidRPr="00E8352C">
        <w:rPr>
          <w:rFonts w:cs="Arial"/>
          <w:color w:val="000000" w:themeColor="text1"/>
          <w:szCs w:val="20"/>
        </w:rPr>
        <w:t>, vanemkordnik, kantselei juhtaja, personal</w:t>
      </w:r>
      <w:r w:rsidR="0076426C" w:rsidRPr="00E8352C">
        <w:rPr>
          <w:rFonts w:cs="Arial"/>
          <w:color w:val="000000" w:themeColor="text1"/>
          <w:szCs w:val="20"/>
        </w:rPr>
        <w:t>i juht</w:t>
      </w:r>
      <w:r w:rsidRPr="00E8352C">
        <w:rPr>
          <w:rFonts w:cs="Arial"/>
          <w:color w:val="000000" w:themeColor="text1"/>
          <w:szCs w:val="20"/>
        </w:rPr>
        <w:t>, tõlgete koordinaator)</w:t>
      </w:r>
      <w:r w:rsidR="0076426C" w:rsidRPr="00E8352C">
        <w:rPr>
          <w:rFonts w:cs="Arial"/>
          <w:color w:val="000000" w:themeColor="text1"/>
          <w:szCs w:val="20"/>
        </w:rPr>
        <w:t>. 47 inimesele töökoha tekitamine Narva või Rakvere majas on võimatu, kuna kummaski majas ei ole vaba büroopinda.</w:t>
      </w:r>
    </w:p>
    <w:p w14:paraId="6AA774B5" w14:textId="77777777" w:rsidR="0076426C" w:rsidRPr="00E8352C" w:rsidRDefault="0076426C" w:rsidP="0076426C">
      <w:pPr>
        <w:jc w:val="both"/>
        <w:rPr>
          <w:rFonts w:cs="Arial"/>
          <w:color w:val="000000" w:themeColor="text1"/>
          <w:szCs w:val="20"/>
        </w:rPr>
      </w:pPr>
    </w:p>
    <w:p w14:paraId="44D46D92" w14:textId="61E13CAB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Viru Maakohtusse saabunud asjad jaotatakse kohtumajade ja kohtunike vahel vastavalt kinnitatud tööjaotusplaanile. Süüteoasju kohtuüleselt ei jagata, v.a üksikutel juhtudel kohtu esimehe käskkirja alusel.</w:t>
      </w:r>
      <w:r w:rsidR="0076426C" w:rsidRPr="00E8352C">
        <w:rPr>
          <w:rFonts w:cs="Arial"/>
          <w:color w:val="000000" w:themeColor="text1"/>
          <w:szCs w:val="20"/>
        </w:rPr>
        <w:t xml:space="preserve"> Sellise jaotuse on tinginud ka politsei ja prokuratuuri töökorraldus, kelle jaoks on oluline kohtumaja lähedus menetluses osalevate isikute </w:t>
      </w:r>
      <w:r w:rsidR="00936DEB" w:rsidRPr="00E8352C">
        <w:rPr>
          <w:rFonts w:cs="Arial"/>
          <w:color w:val="000000" w:themeColor="text1"/>
          <w:szCs w:val="20"/>
        </w:rPr>
        <w:t>elukohale</w:t>
      </w:r>
      <w:r w:rsidR="0076426C" w:rsidRPr="00E8352C">
        <w:rPr>
          <w:rFonts w:cs="Arial"/>
          <w:color w:val="000000" w:themeColor="text1"/>
          <w:szCs w:val="20"/>
        </w:rPr>
        <w:t xml:space="preserve">. </w:t>
      </w:r>
    </w:p>
    <w:p w14:paraId="716F0849" w14:textId="77777777" w:rsidR="0076426C" w:rsidRPr="00E8352C" w:rsidRDefault="0076426C" w:rsidP="0076426C">
      <w:pPr>
        <w:jc w:val="both"/>
        <w:rPr>
          <w:rFonts w:cs="Arial"/>
          <w:color w:val="000000" w:themeColor="text1"/>
          <w:szCs w:val="20"/>
        </w:rPr>
      </w:pPr>
    </w:p>
    <w:p w14:paraId="247C4EEF" w14:textId="30B843B4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Jõhvi kohtumajja on kuuel kuul saabunud arvuliselt enam süüteo asju kui Narva või Rakvere kohtumajja (</w:t>
      </w:r>
      <w:r w:rsidRPr="00E8352C">
        <w:rPr>
          <w:rFonts w:cs="Arial"/>
          <w:color w:val="000000" w:themeColor="text1"/>
          <w:szCs w:val="20"/>
        </w:rPr>
        <w:fldChar w:fldCharType="begin"/>
      </w:r>
      <w:r w:rsidRPr="00E8352C">
        <w:rPr>
          <w:rFonts w:cs="Arial"/>
          <w:color w:val="000000" w:themeColor="text1"/>
          <w:szCs w:val="20"/>
        </w:rPr>
        <w:instrText xml:space="preserve"> REF _Ref175231983 \h </w:instrText>
      </w:r>
      <w:r w:rsidR="0076426C" w:rsidRPr="00E8352C">
        <w:rPr>
          <w:rFonts w:cs="Arial"/>
          <w:color w:val="000000" w:themeColor="text1"/>
          <w:szCs w:val="20"/>
        </w:rPr>
        <w:instrText xml:space="preserve"> \* MERGEFORMAT </w:instrText>
      </w:r>
      <w:r w:rsidRPr="00E8352C">
        <w:rPr>
          <w:rFonts w:cs="Arial"/>
          <w:color w:val="000000" w:themeColor="text1"/>
          <w:szCs w:val="20"/>
        </w:rPr>
      </w:r>
      <w:r w:rsidRPr="00E8352C">
        <w:rPr>
          <w:rFonts w:cs="Arial"/>
          <w:color w:val="000000" w:themeColor="text1"/>
          <w:szCs w:val="20"/>
        </w:rPr>
        <w:fldChar w:fldCharType="separate"/>
      </w:r>
      <w:r w:rsidR="0076426C" w:rsidRPr="00E8352C">
        <w:rPr>
          <w:rFonts w:cs="Arial"/>
          <w:color w:val="000000" w:themeColor="text1"/>
          <w:szCs w:val="20"/>
        </w:rPr>
        <w:t>Joonis 1</w:t>
      </w:r>
      <w:r w:rsidRPr="00E8352C">
        <w:rPr>
          <w:rFonts w:cs="Arial"/>
          <w:color w:val="000000" w:themeColor="text1"/>
          <w:szCs w:val="20"/>
        </w:rPr>
        <w:fldChar w:fldCharType="end"/>
      </w:r>
      <w:r w:rsidRPr="00E8352C">
        <w:rPr>
          <w:rFonts w:cs="Arial"/>
          <w:color w:val="000000" w:themeColor="text1"/>
          <w:szCs w:val="20"/>
        </w:rPr>
        <w:t xml:space="preserve">). </w:t>
      </w:r>
    </w:p>
    <w:p w14:paraId="4FECF8F2" w14:textId="77777777" w:rsidR="008A09F5" w:rsidRPr="00E8352C" w:rsidRDefault="008A09F5" w:rsidP="0076426C">
      <w:pPr>
        <w:keepNext/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noProof/>
          <w:color w:val="000000" w:themeColor="text1"/>
          <w:szCs w:val="20"/>
        </w:rPr>
        <w:lastRenderedPageBreak/>
        <w:drawing>
          <wp:inline distT="0" distB="0" distL="0" distR="0" wp14:anchorId="055B6C67" wp14:editId="1F5A6DF5">
            <wp:extent cx="4572635" cy="2743200"/>
            <wp:effectExtent l="0" t="0" r="0" b="0"/>
            <wp:docPr id="1931558301" name="Pil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1738C0" w14:textId="7FCA8047" w:rsidR="008A09F5" w:rsidRPr="00E8352C" w:rsidRDefault="008A09F5" w:rsidP="0076426C">
      <w:pPr>
        <w:pStyle w:val="Pealdis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1" w:name="_Ref175231983"/>
      <w:r w:rsidRPr="00E8352C">
        <w:rPr>
          <w:rFonts w:ascii="Arial" w:hAnsi="Arial" w:cs="Arial"/>
          <w:color w:val="000000" w:themeColor="text1"/>
          <w:sz w:val="20"/>
          <w:szCs w:val="20"/>
        </w:rPr>
        <w:t xml:space="preserve">Joonis </w:t>
      </w:r>
      <w:bookmarkEnd w:id="1"/>
      <w:r w:rsidR="0076426C" w:rsidRPr="00E8352C">
        <w:rPr>
          <w:rFonts w:ascii="Arial" w:hAnsi="Arial" w:cs="Arial"/>
          <w:color w:val="000000" w:themeColor="text1"/>
          <w:sz w:val="20"/>
          <w:szCs w:val="20"/>
        </w:rPr>
        <w:t>1</w:t>
      </w:r>
      <w:r w:rsidRPr="00E8352C">
        <w:rPr>
          <w:rFonts w:ascii="Arial" w:hAnsi="Arial" w:cs="Arial"/>
          <w:color w:val="000000" w:themeColor="text1"/>
          <w:sz w:val="20"/>
          <w:szCs w:val="20"/>
        </w:rPr>
        <w:t>. Viru Maakohtu kohtumajadesse saabunud süüteoasjade arv perioodil 01.08.23 kuni 31.07.24</w:t>
      </w:r>
    </w:p>
    <w:p w14:paraId="7F722C30" w14:textId="1EB3AAA1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Süüteoasjades toimunud istungite arv varieerub kuude lõikes (</w:t>
      </w:r>
      <w:r w:rsidR="0076426C" w:rsidRPr="00E8352C">
        <w:rPr>
          <w:rFonts w:cs="Arial"/>
          <w:color w:val="000000" w:themeColor="text1"/>
          <w:szCs w:val="20"/>
        </w:rPr>
        <w:t>Joonis 2</w:t>
      </w:r>
      <w:r w:rsidRPr="00E8352C">
        <w:rPr>
          <w:rFonts w:cs="Arial"/>
          <w:color w:val="000000" w:themeColor="text1"/>
          <w:szCs w:val="20"/>
        </w:rPr>
        <w:t xml:space="preserve">). Keskmiselt toimus Jõhvi kohtumaja süüteoasjades 95 istungit kuus. </w:t>
      </w:r>
    </w:p>
    <w:p w14:paraId="55968238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5A163967" w14:textId="77777777" w:rsidR="008A09F5" w:rsidRPr="00E8352C" w:rsidRDefault="008A09F5" w:rsidP="0076426C">
      <w:pPr>
        <w:keepNext/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noProof/>
          <w:color w:val="000000" w:themeColor="text1"/>
          <w:szCs w:val="20"/>
        </w:rPr>
        <w:drawing>
          <wp:inline distT="0" distB="0" distL="0" distR="0" wp14:anchorId="1B3356FD" wp14:editId="1B9CDC10">
            <wp:extent cx="5639435" cy="2743200"/>
            <wp:effectExtent l="0" t="0" r="0" b="0"/>
            <wp:docPr id="1604335088" name="Pil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9435" cy="2743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509F3" w14:textId="08B58585" w:rsidR="008A09F5" w:rsidRPr="00E8352C" w:rsidRDefault="008A09F5" w:rsidP="0076426C">
      <w:pPr>
        <w:pStyle w:val="Pealdis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2" w:name="_Ref175235452"/>
      <w:r w:rsidRPr="00E8352C">
        <w:rPr>
          <w:rFonts w:ascii="Arial" w:hAnsi="Arial" w:cs="Arial"/>
          <w:color w:val="000000" w:themeColor="text1"/>
          <w:sz w:val="20"/>
          <w:szCs w:val="20"/>
        </w:rPr>
        <w:t xml:space="preserve">Joonis </w:t>
      </w:r>
      <w:r w:rsidR="0076426C" w:rsidRPr="00E8352C">
        <w:rPr>
          <w:rFonts w:ascii="Arial" w:hAnsi="Arial" w:cs="Arial"/>
          <w:color w:val="000000" w:themeColor="text1"/>
          <w:sz w:val="20"/>
          <w:szCs w:val="20"/>
        </w:rPr>
        <w:t>2</w:t>
      </w:r>
      <w:bookmarkEnd w:id="2"/>
      <w:r w:rsidRPr="00E8352C">
        <w:rPr>
          <w:rFonts w:ascii="Arial" w:hAnsi="Arial" w:cs="Arial"/>
          <w:color w:val="000000" w:themeColor="text1"/>
          <w:sz w:val="20"/>
          <w:szCs w:val="20"/>
        </w:rPr>
        <w:t>. Viru Maakohtu süüteoasjades toimunud istungid perioodil 01.08.23 kuni 31.07.24</w:t>
      </w:r>
    </w:p>
    <w:p w14:paraId="5F009582" w14:textId="18B27899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Tsiviilasjad jagatakse vastavalt kohtumajade tööpiirkondadele, kohtunike spetsialiseerumisele ning osa asju vastavalt kohtunike koormusele kohtuüleselt. Kohtuülene jagamine võimaldab hoida kohtunike koormuse kogu kalendriaasta jooksul võimalikult ühtlasena.</w:t>
      </w:r>
    </w:p>
    <w:p w14:paraId="1EDDAEFF" w14:textId="77777777" w:rsidR="00FB5702" w:rsidRPr="00E8352C" w:rsidRDefault="00FB5702" w:rsidP="0076426C">
      <w:pPr>
        <w:jc w:val="both"/>
        <w:rPr>
          <w:rFonts w:cs="Arial"/>
          <w:color w:val="000000" w:themeColor="text1"/>
          <w:szCs w:val="20"/>
        </w:rPr>
      </w:pPr>
    </w:p>
    <w:p w14:paraId="347494CA" w14:textId="35C4226F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Jõhvi kohtumajja on seitsmel kuul saabunud arvuliselt enam tsiviilasju kui Narva või Rakvere kohtumajja (</w:t>
      </w:r>
      <w:r w:rsidR="00FB5702" w:rsidRPr="00E8352C">
        <w:rPr>
          <w:rFonts w:cs="Arial"/>
          <w:color w:val="000000" w:themeColor="text1"/>
          <w:szCs w:val="20"/>
        </w:rPr>
        <w:t>Joonis 3</w:t>
      </w:r>
      <w:r w:rsidRPr="00E8352C">
        <w:rPr>
          <w:rFonts w:cs="Arial"/>
          <w:color w:val="000000" w:themeColor="text1"/>
          <w:szCs w:val="20"/>
        </w:rPr>
        <w:t xml:space="preserve">). </w:t>
      </w:r>
    </w:p>
    <w:p w14:paraId="777CC6D2" w14:textId="77777777" w:rsidR="008A09F5" w:rsidRPr="00E8352C" w:rsidRDefault="008A09F5" w:rsidP="0076426C">
      <w:pPr>
        <w:pStyle w:val="Pealdis"/>
        <w:keepNext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8352C">
        <w:rPr>
          <w:rFonts w:ascii="Arial" w:hAnsi="Arial" w:cs="Arial"/>
          <w:noProof/>
          <w:color w:val="000000" w:themeColor="text1"/>
          <w:sz w:val="20"/>
          <w:szCs w:val="20"/>
        </w:rPr>
        <w:lastRenderedPageBreak/>
        <w:drawing>
          <wp:inline distT="0" distB="0" distL="0" distR="0" wp14:anchorId="7FEAAE81" wp14:editId="69359195">
            <wp:extent cx="4629706" cy="2781300"/>
            <wp:effectExtent l="0" t="0" r="0" b="0"/>
            <wp:docPr id="825047939" name="Pil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887" cy="27856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E46466" w14:textId="38832CD5" w:rsidR="008A09F5" w:rsidRPr="00E8352C" w:rsidRDefault="008A09F5" w:rsidP="0076426C">
      <w:pPr>
        <w:pStyle w:val="Pealdis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Ref175236315"/>
      <w:r w:rsidRPr="00E8352C">
        <w:rPr>
          <w:rFonts w:ascii="Arial" w:hAnsi="Arial" w:cs="Arial"/>
          <w:color w:val="000000" w:themeColor="text1"/>
          <w:sz w:val="20"/>
          <w:szCs w:val="20"/>
        </w:rPr>
        <w:t xml:space="preserve">Joonis </w:t>
      </w:r>
      <w:bookmarkEnd w:id="3"/>
      <w:r w:rsidR="00FB5702" w:rsidRPr="00E8352C">
        <w:rPr>
          <w:rFonts w:ascii="Arial" w:hAnsi="Arial" w:cs="Arial"/>
          <w:color w:val="000000" w:themeColor="text1"/>
          <w:sz w:val="20"/>
          <w:szCs w:val="20"/>
        </w:rPr>
        <w:t>3</w:t>
      </w:r>
      <w:r w:rsidRPr="00E8352C">
        <w:rPr>
          <w:rFonts w:ascii="Arial" w:hAnsi="Arial" w:cs="Arial"/>
          <w:color w:val="000000" w:themeColor="text1"/>
          <w:sz w:val="20"/>
          <w:szCs w:val="20"/>
        </w:rPr>
        <w:t>. Viru Maakohtu kohtumajadesse saabunud tsiviilasjade arv perioodil 01.08.23 kuni 31.07.24</w:t>
      </w:r>
    </w:p>
    <w:p w14:paraId="42AE2DEC" w14:textId="1E22E5BC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Tsiviilasjades toimunud istungite arv varieerub kuude lõikes (</w:t>
      </w:r>
      <w:r w:rsidR="00FB5702" w:rsidRPr="00E8352C">
        <w:rPr>
          <w:rFonts w:cs="Arial"/>
          <w:color w:val="000000" w:themeColor="text1"/>
          <w:szCs w:val="20"/>
        </w:rPr>
        <w:t>Joonis 4</w:t>
      </w:r>
      <w:r w:rsidRPr="00E8352C">
        <w:rPr>
          <w:rFonts w:cs="Arial"/>
          <w:color w:val="000000" w:themeColor="text1"/>
          <w:szCs w:val="20"/>
        </w:rPr>
        <w:t xml:space="preserve">). Keskmiselt toimus Jõhvi kohtumaja tsiviilasjades 41 istungit kuus. </w:t>
      </w:r>
    </w:p>
    <w:p w14:paraId="2F247E24" w14:textId="77777777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noProof/>
          <w:color w:val="000000" w:themeColor="text1"/>
          <w:szCs w:val="20"/>
        </w:rPr>
        <w:drawing>
          <wp:inline distT="0" distB="0" distL="0" distR="0" wp14:anchorId="149E9B58" wp14:editId="23BA4029">
            <wp:extent cx="5318760" cy="2587214"/>
            <wp:effectExtent l="0" t="0" r="0" b="3810"/>
            <wp:docPr id="1601586468" name="Pil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8444" cy="2596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808E4" w14:textId="6C426898" w:rsidR="008A09F5" w:rsidRPr="00E8352C" w:rsidRDefault="008A09F5" w:rsidP="0076426C">
      <w:pPr>
        <w:pStyle w:val="Pealdis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4" w:name="_Ref175238736"/>
      <w:r w:rsidRPr="00E8352C">
        <w:rPr>
          <w:rFonts w:ascii="Arial" w:hAnsi="Arial" w:cs="Arial"/>
          <w:color w:val="000000" w:themeColor="text1"/>
          <w:sz w:val="20"/>
          <w:szCs w:val="20"/>
        </w:rPr>
        <w:t>Joonis</w:t>
      </w:r>
      <w:bookmarkEnd w:id="4"/>
      <w:r w:rsidR="00FB5702" w:rsidRPr="00E8352C">
        <w:rPr>
          <w:rFonts w:ascii="Arial" w:hAnsi="Arial" w:cs="Arial"/>
          <w:color w:val="000000" w:themeColor="text1"/>
          <w:sz w:val="20"/>
          <w:szCs w:val="20"/>
        </w:rPr>
        <w:t xml:space="preserve"> 4</w:t>
      </w:r>
      <w:r w:rsidRPr="00E8352C">
        <w:rPr>
          <w:rFonts w:ascii="Arial" w:hAnsi="Arial" w:cs="Arial"/>
          <w:color w:val="000000" w:themeColor="text1"/>
          <w:sz w:val="20"/>
          <w:szCs w:val="20"/>
        </w:rPr>
        <w:t>. Viru Maakohtu tsiviilasjades toimunud istungid perioodil 01.08.23 kuni 31.07.24</w:t>
      </w:r>
    </w:p>
    <w:p w14:paraId="6795BB36" w14:textId="77777777" w:rsidR="00936DEB" w:rsidRPr="00E8352C" w:rsidRDefault="00FB5702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Arvestades süüteoasjades ja tsiviilasjades toimuvate istungite mahtu, siis ei ole võimalik nende jagamine Narva ja Rakvere majade vahel, kuna nendes majades ei ole selleks piisavalt ruumi. </w:t>
      </w:r>
    </w:p>
    <w:p w14:paraId="742FA260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174D5D47" w14:textId="17439061" w:rsidR="00F84B0B" w:rsidRPr="00E8352C" w:rsidRDefault="00FB5702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Videoistungite korraldamine on takistatud nii asja olemusest</w:t>
      </w:r>
      <w:r w:rsidR="00936DEB" w:rsidRPr="00E8352C">
        <w:rPr>
          <w:rFonts w:cs="Arial"/>
          <w:color w:val="000000" w:themeColor="text1"/>
          <w:szCs w:val="20"/>
        </w:rPr>
        <w:t xml:space="preserve"> (süüteoasjades </w:t>
      </w:r>
      <w:proofErr w:type="spellStart"/>
      <w:r w:rsidR="00936DEB" w:rsidRPr="00E8352C">
        <w:rPr>
          <w:rFonts w:cs="Arial"/>
          <w:color w:val="000000" w:themeColor="text1"/>
          <w:szCs w:val="20"/>
        </w:rPr>
        <w:t>üldmenetlus</w:t>
      </w:r>
      <w:proofErr w:type="spellEnd"/>
      <w:r w:rsidR="00936DEB" w:rsidRPr="00E8352C">
        <w:rPr>
          <w:rFonts w:cs="Arial"/>
          <w:color w:val="000000" w:themeColor="text1"/>
          <w:szCs w:val="20"/>
        </w:rPr>
        <w:t>, lastega seonduvad vaidlused, kohtupoolne lepitamine vms)</w:t>
      </w:r>
      <w:r w:rsidRPr="00E8352C">
        <w:rPr>
          <w:rFonts w:cs="Arial"/>
          <w:color w:val="000000" w:themeColor="text1"/>
          <w:szCs w:val="20"/>
        </w:rPr>
        <w:t xml:space="preserve">, kohtuniku töökorraldusest kui ka videoseadmete piiratud võimekusest. </w:t>
      </w:r>
    </w:p>
    <w:p w14:paraId="2E1A89F5" w14:textId="77777777" w:rsidR="00FB5702" w:rsidRPr="00E8352C" w:rsidRDefault="00FB5702" w:rsidP="0076426C">
      <w:pPr>
        <w:jc w:val="both"/>
        <w:rPr>
          <w:rFonts w:cs="Arial"/>
          <w:color w:val="000000" w:themeColor="text1"/>
          <w:szCs w:val="20"/>
        </w:rPr>
      </w:pPr>
    </w:p>
    <w:p w14:paraId="671250DE" w14:textId="6B31D493" w:rsidR="00F84B0B" w:rsidRPr="00E8352C" w:rsidRDefault="00F84B0B" w:rsidP="0076426C">
      <w:pPr>
        <w:jc w:val="both"/>
        <w:rPr>
          <w:rFonts w:cs="Arial"/>
          <w:color w:val="000000" w:themeColor="text1"/>
          <w:szCs w:val="20"/>
          <w:u w:val="single"/>
        </w:rPr>
      </w:pPr>
      <w:r w:rsidRPr="00E8352C">
        <w:rPr>
          <w:rFonts w:cs="Arial"/>
          <w:color w:val="000000" w:themeColor="text1"/>
          <w:szCs w:val="20"/>
          <w:u w:val="single"/>
        </w:rPr>
        <w:t>Tartu Halduskohus</w:t>
      </w:r>
    </w:p>
    <w:p w14:paraId="267CFDEA" w14:textId="77777777" w:rsidR="008A09F5" w:rsidRPr="00E8352C" w:rsidRDefault="008A09F5" w:rsidP="0076426C">
      <w:pPr>
        <w:jc w:val="both"/>
        <w:rPr>
          <w:rFonts w:eastAsia="Times New Roman" w:cs="Arial"/>
          <w:color w:val="000000" w:themeColor="text1"/>
          <w:szCs w:val="20"/>
          <w:lang w:eastAsia="et-EE"/>
        </w:rPr>
      </w:pPr>
    </w:p>
    <w:p w14:paraId="79231078" w14:textId="5B24D755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Jõhvi kohtumajas asub ka Tartu Halduskohtu Jõhvi kohtumaja. Tartu Halduskohtu tööpiirkonnaks on Jõgeva maakond, Põlva maakond, Tartu maakond, Valga maakond, Viljandi maakond, Võru maakond, Ida-Viru maakond ja Lääne-Viru maakond</w:t>
      </w:r>
      <w:r w:rsidRPr="00E8352C">
        <w:rPr>
          <w:rStyle w:val="Allmrkuseviide"/>
          <w:rFonts w:cs="Arial"/>
          <w:color w:val="000000" w:themeColor="text1"/>
          <w:szCs w:val="20"/>
        </w:rPr>
        <w:footnoteReference w:id="1"/>
      </w:r>
      <w:r w:rsidRPr="00E8352C">
        <w:rPr>
          <w:rFonts w:cs="Arial"/>
          <w:color w:val="000000" w:themeColor="text1"/>
          <w:szCs w:val="20"/>
        </w:rPr>
        <w:t xml:space="preserve">, st umbes pool Eesti Vabariigi territooriumist. Tartu Halduskohtu kaks kohtumaja asuvad teineteisest 130 km kaugusel. Kuigi praeguseks </w:t>
      </w:r>
      <w:r w:rsidR="00FD4196" w:rsidRPr="00E8352C">
        <w:rPr>
          <w:rFonts w:cs="Arial"/>
          <w:color w:val="000000" w:themeColor="text1"/>
          <w:szCs w:val="20"/>
        </w:rPr>
        <w:t>ei eristata hiljutiste seadusemuudatuste tulemusena enam</w:t>
      </w:r>
      <w:r w:rsidRPr="00E8352C">
        <w:rPr>
          <w:rFonts w:cs="Arial"/>
          <w:color w:val="000000" w:themeColor="text1"/>
          <w:szCs w:val="20"/>
        </w:rPr>
        <w:t xml:space="preserve"> halduskohtu kohtumaj</w:t>
      </w:r>
      <w:r w:rsidR="00FD4196" w:rsidRPr="00E8352C">
        <w:rPr>
          <w:rFonts w:cs="Arial"/>
          <w:color w:val="000000" w:themeColor="text1"/>
          <w:szCs w:val="20"/>
        </w:rPr>
        <w:t>u nende</w:t>
      </w:r>
      <w:r w:rsidRPr="00E8352C">
        <w:rPr>
          <w:rFonts w:cs="Arial"/>
          <w:color w:val="000000" w:themeColor="text1"/>
          <w:szCs w:val="20"/>
        </w:rPr>
        <w:t xml:space="preserve"> teeninduspiirkondade alusel, peab kohtuistung halduskohtumenetluse seadustiku § 129 lg 2 kohaselt toimuma kohtumajas, mis asub kõige lähemal kohale, mille järgi määratakse kohtualluvus. Sedavõrd ulatusliku tööpiirkonna </w:t>
      </w:r>
      <w:r w:rsidRPr="00E8352C">
        <w:rPr>
          <w:rFonts w:cs="Arial"/>
          <w:color w:val="000000" w:themeColor="text1"/>
          <w:szCs w:val="20"/>
        </w:rPr>
        <w:lastRenderedPageBreak/>
        <w:t xml:space="preserve">puhul raskendaks ühe kohtumaja kaotamine menetlusosaliste juurdepääsu kohtule, kusjuures halduskohtupidamise </w:t>
      </w:r>
      <w:r w:rsidR="00FD4196" w:rsidRPr="00E8352C">
        <w:rPr>
          <w:rFonts w:cs="Arial"/>
          <w:color w:val="000000" w:themeColor="text1"/>
          <w:szCs w:val="20"/>
        </w:rPr>
        <w:t>puhul</w:t>
      </w:r>
      <w:r w:rsidRPr="00E8352C">
        <w:rPr>
          <w:rFonts w:cs="Arial"/>
          <w:color w:val="000000" w:themeColor="text1"/>
          <w:szCs w:val="20"/>
        </w:rPr>
        <w:t xml:space="preserve"> tuleb arvestada, et kohtusse pöördutakse oma õiguste kaitseks just avaliku võimu õigusvastase tegevuse tõttu.</w:t>
      </w:r>
    </w:p>
    <w:p w14:paraId="5462837F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</w:p>
    <w:p w14:paraId="513BD563" w14:textId="3C25C53E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Tartu Halduskohtu kohtumaja säilitamine Jõhvis on oluline ka riigi julgeolekupoliitilisest aspektist, arvestades </w:t>
      </w:r>
      <w:r w:rsidR="00FD4196" w:rsidRPr="00E8352C">
        <w:rPr>
          <w:rFonts w:cs="Arial"/>
          <w:color w:val="000000" w:themeColor="text1"/>
          <w:szCs w:val="20"/>
        </w:rPr>
        <w:t xml:space="preserve">asukohta Euroopa-Liidu idapiiri kõrval ning </w:t>
      </w:r>
      <w:r w:rsidRPr="00E8352C">
        <w:rPr>
          <w:rFonts w:cs="Arial"/>
          <w:color w:val="000000" w:themeColor="text1"/>
          <w:szCs w:val="20"/>
        </w:rPr>
        <w:t>halduskohtu ülesandeid ebaseadusliku rände tõrjumisel</w:t>
      </w:r>
      <w:r w:rsidR="00FD4196" w:rsidRPr="00E8352C">
        <w:rPr>
          <w:rFonts w:cs="Arial"/>
          <w:color w:val="000000" w:themeColor="text1"/>
          <w:szCs w:val="20"/>
        </w:rPr>
        <w:t>. Samuti muukeelse elanikkonna suurt osakaalu Ida-Virumaal</w:t>
      </w:r>
      <w:r w:rsidRPr="00E8352C">
        <w:rPr>
          <w:rFonts w:cs="Arial"/>
          <w:color w:val="000000" w:themeColor="text1"/>
          <w:szCs w:val="20"/>
        </w:rPr>
        <w:t>.</w:t>
      </w:r>
      <w:r w:rsidR="00FD4196" w:rsidRPr="00E8352C">
        <w:rPr>
          <w:rFonts w:cs="Arial"/>
          <w:color w:val="000000" w:themeColor="text1"/>
          <w:szCs w:val="20"/>
        </w:rPr>
        <w:t xml:space="preserve"> Halduskohtu n-ö kohalolek just Kirde-Eestis on eeltoodut arvestades äärmiselt vajalik.</w:t>
      </w:r>
    </w:p>
    <w:p w14:paraId="7F76124D" w14:textId="77777777" w:rsidR="00F84B0B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</w:p>
    <w:p w14:paraId="42293FBB" w14:textId="434BB261" w:rsidR="008A09F5" w:rsidRPr="00E8352C" w:rsidRDefault="00F84B0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Tartu Halduskohtu Jõhvi kohtumajas töötab igapäevaselt 1 kohtunik, 2 istungisekretäri, 1 referent ja 1 kohtujurist ning lühemaajaliselt ülejäänud 2 Jõhvi kohtumaja kohtunikku. </w:t>
      </w:r>
      <w:r w:rsidR="00FD4196" w:rsidRPr="00E8352C">
        <w:rPr>
          <w:rFonts w:cs="Arial"/>
          <w:color w:val="000000" w:themeColor="text1"/>
          <w:szCs w:val="20"/>
        </w:rPr>
        <w:t xml:space="preserve">Samas kasutavad </w:t>
      </w:r>
      <w:r w:rsidRPr="00E8352C">
        <w:rPr>
          <w:rFonts w:cs="Arial"/>
          <w:color w:val="000000" w:themeColor="text1"/>
          <w:szCs w:val="20"/>
        </w:rPr>
        <w:t>Jõhvi kohtumajas asuvat kohtusaali menetlusosalised vajadusel ka videoühenduse teel osalemiseks Tartu kohtumajas toimuvatest kohtuistungitest</w:t>
      </w:r>
      <w:r w:rsidR="00997D5B" w:rsidRPr="00E8352C">
        <w:rPr>
          <w:rFonts w:cs="Arial"/>
          <w:color w:val="000000" w:themeColor="text1"/>
          <w:szCs w:val="20"/>
        </w:rPr>
        <w:t xml:space="preserve"> ning istungeid käivad pidamas ka Tartu kohtumaja kohtunikud</w:t>
      </w:r>
      <w:r w:rsidRPr="00E8352C">
        <w:rPr>
          <w:rFonts w:cs="Arial"/>
          <w:color w:val="000000" w:themeColor="text1"/>
          <w:szCs w:val="20"/>
        </w:rPr>
        <w:t>.</w:t>
      </w:r>
      <w:r w:rsidR="00FD4196" w:rsidRPr="00E8352C">
        <w:rPr>
          <w:rFonts w:cs="Arial"/>
          <w:color w:val="000000" w:themeColor="text1"/>
          <w:szCs w:val="20"/>
        </w:rPr>
        <w:t xml:space="preserve"> Võrreldes näiteks Tartu Halduskohtu Tartu kohtumajaga, on märgatav sealse piirkonna inimeste väiksem suutlikkus osaleda kohtumenetlustes digitaalselt</w:t>
      </w:r>
      <w:r w:rsidR="00997D5B" w:rsidRPr="00E8352C">
        <w:rPr>
          <w:rFonts w:cs="Arial"/>
          <w:color w:val="000000" w:themeColor="text1"/>
          <w:szCs w:val="20"/>
        </w:rPr>
        <w:t xml:space="preserve"> (dokumentide elektrooniline esitamine, iseseisev osalemine videoistungil)</w:t>
      </w:r>
      <w:r w:rsidR="00FD4196" w:rsidRPr="00E8352C">
        <w:rPr>
          <w:rFonts w:cs="Arial"/>
          <w:color w:val="000000" w:themeColor="text1"/>
          <w:szCs w:val="20"/>
        </w:rPr>
        <w:t>.</w:t>
      </w:r>
      <w:r w:rsidR="0038376C" w:rsidRPr="00E8352C">
        <w:rPr>
          <w:rFonts w:cs="Arial"/>
          <w:color w:val="000000" w:themeColor="text1"/>
          <w:szCs w:val="20"/>
        </w:rPr>
        <w:t xml:space="preserve"> Tartu Halduskohtu sissetulevate asjade hulk on kasvutrendis ning 2024. a asjade kasv on eelmise aastaga võrreldes 29%, mis hõlmab samas mahus ka tööd Jõhvi kohtumajas.</w:t>
      </w:r>
    </w:p>
    <w:p w14:paraId="1373D637" w14:textId="77777777" w:rsidR="00FB5702" w:rsidRPr="00E8352C" w:rsidRDefault="00FB5702" w:rsidP="0076426C">
      <w:pPr>
        <w:jc w:val="both"/>
        <w:rPr>
          <w:rFonts w:cs="Arial"/>
          <w:color w:val="000000" w:themeColor="text1"/>
          <w:szCs w:val="20"/>
        </w:rPr>
      </w:pPr>
    </w:p>
    <w:p w14:paraId="043CD87D" w14:textId="1F954974" w:rsidR="00FB5702" w:rsidRPr="00E8352C" w:rsidRDefault="00FB5702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Kokkuvõttes leiavad Viru Maakohus ja Tartu Halduskohus, et Jõhvi kohtumaja sulgemine ei ole võimalik. Juhul, kui teoreetiliselt kaaluda selle plaani rakendamist, siis on kindlasti vajalik ehitada Narva kohtumaja, m</w:t>
      </w:r>
      <w:r w:rsidR="00936DEB" w:rsidRPr="00E8352C">
        <w:rPr>
          <w:rFonts w:cs="Arial"/>
          <w:color w:val="000000" w:themeColor="text1"/>
          <w:szCs w:val="20"/>
        </w:rPr>
        <w:t xml:space="preserve">is mahutaks inimeste töökohad ja tagaks võimaluse pidada kõik vajalikud istungid. </w:t>
      </w:r>
    </w:p>
    <w:p w14:paraId="69E347AF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3084F193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2D31C357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002C8581" w14:textId="6989E509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Lugupidamisega</w:t>
      </w:r>
    </w:p>
    <w:p w14:paraId="40ECD03D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37654ED8" w14:textId="46CFD40C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Liina Naaber-Kivisoo</w:t>
      </w:r>
    </w:p>
    <w:p w14:paraId="510CB494" w14:textId="4F36E5B2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Viru Maakohtu esimees</w:t>
      </w:r>
    </w:p>
    <w:p w14:paraId="6B9E951E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45ECACA9" w14:textId="6CCD1041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Mario Metsoja </w:t>
      </w:r>
    </w:p>
    <w:p w14:paraId="107468F6" w14:textId="6CC73008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Viru Maakohtu direktor</w:t>
      </w:r>
    </w:p>
    <w:p w14:paraId="4D282E64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26060457" w14:textId="6E15D671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Sirje Kaljumäe</w:t>
      </w:r>
    </w:p>
    <w:p w14:paraId="1E120E42" w14:textId="3AB21F20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Tartu Halduskohtu esimees</w:t>
      </w:r>
    </w:p>
    <w:p w14:paraId="472A6A3F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</w:p>
    <w:p w14:paraId="2129248A" w14:textId="77777777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 xml:space="preserve">Tiina Ereb </w:t>
      </w:r>
    </w:p>
    <w:p w14:paraId="087F053A" w14:textId="41E8F5C3" w:rsidR="00936DEB" w:rsidRPr="00E8352C" w:rsidRDefault="00936DEB" w:rsidP="0076426C">
      <w:pPr>
        <w:jc w:val="both"/>
        <w:rPr>
          <w:rFonts w:cs="Arial"/>
          <w:color w:val="000000" w:themeColor="text1"/>
          <w:szCs w:val="20"/>
        </w:rPr>
      </w:pPr>
      <w:r w:rsidRPr="00E8352C">
        <w:rPr>
          <w:rFonts w:cs="Arial"/>
          <w:color w:val="000000" w:themeColor="text1"/>
          <w:szCs w:val="20"/>
        </w:rPr>
        <w:t>Tartu Halduskohtu direktor</w:t>
      </w:r>
    </w:p>
    <w:p w14:paraId="7C611725" w14:textId="77777777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</w:p>
    <w:p w14:paraId="2EDA0F36" w14:textId="77777777" w:rsidR="008A09F5" w:rsidRPr="00E8352C" w:rsidRDefault="008A09F5" w:rsidP="0076426C">
      <w:pPr>
        <w:jc w:val="both"/>
        <w:rPr>
          <w:rFonts w:cs="Arial"/>
          <w:color w:val="000000" w:themeColor="text1"/>
          <w:szCs w:val="20"/>
        </w:rPr>
      </w:pPr>
    </w:p>
    <w:p w14:paraId="71A8A67B" w14:textId="77777777" w:rsidR="005C0269" w:rsidRPr="00E8352C" w:rsidRDefault="005C0269" w:rsidP="0076426C">
      <w:pPr>
        <w:jc w:val="both"/>
        <w:rPr>
          <w:rFonts w:cs="Arial"/>
          <w:color w:val="000000" w:themeColor="text1"/>
          <w:szCs w:val="20"/>
        </w:rPr>
      </w:pPr>
    </w:p>
    <w:p w14:paraId="3579952B" w14:textId="77777777" w:rsidR="005C0269" w:rsidRPr="00E8352C" w:rsidRDefault="005C0269" w:rsidP="0076426C">
      <w:pPr>
        <w:jc w:val="both"/>
        <w:rPr>
          <w:rFonts w:cs="Arial"/>
          <w:color w:val="000000" w:themeColor="text1"/>
          <w:szCs w:val="20"/>
        </w:rPr>
      </w:pPr>
    </w:p>
    <w:p w14:paraId="250462B8" w14:textId="6D150FC2" w:rsidR="00811E61" w:rsidRPr="00E8352C" w:rsidRDefault="00811E61" w:rsidP="0076426C">
      <w:pPr>
        <w:jc w:val="both"/>
        <w:rPr>
          <w:rFonts w:cs="Arial"/>
          <w:color w:val="000000" w:themeColor="text1"/>
          <w:szCs w:val="20"/>
          <w:lang w:val="en-US"/>
        </w:rPr>
      </w:pPr>
      <w:r w:rsidRPr="00E8352C">
        <w:rPr>
          <w:rFonts w:cs="Arial"/>
          <w:noProof/>
          <w:color w:val="000000" w:themeColor="text1"/>
          <w:szCs w:val="20"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59D2" wp14:editId="6F2A8FE6">
                <wp:simplePos x="0" y="0"/>
                <wp:positionH relativeFrom="column">
                  <wp:posOffset>0</wp:posOffset>
                </wp:positionH>
                <wp:positionV relativeFrom="bottomMargin">
                  <wp:posOffset>-540385</wp:posOffset>
                </wp:positionV>
                <wp:extent cx="3200400" cy="447675"/>
                <wp:effectExtent l="0" t="0" r="0" b="6350"/>
                <wp:wrapTopAndBottom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D7258C" w14:textId="7B7B6D2D" w:rsidR="00811E61" w:rsidRPr="00F63BD2" w:rsidRDefault="00811E61" w:rsidP="00811E61">
                            <w:pPr>
                              <w:rPr>
                                <w:rFonts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C859D2" id="Tekstiväli 2" o:spid="_x0000_s1027" type="#_x0000_t202" style="position:absolute;left:0;text-align:left;margin-left:0;margin-top:-42.55pt;width:252pt;height:35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" stroked="f">
                <v:textbox style="mso-fit-shape-to-text:t">
                  <w:txbxContent>
                    <w:p w14:paraId="3AD7258C" w14:textId="7B7B6D2D" w:rsidR="00811E61" w:rsidRPr="00F63BD2" w:rsidRDefault="00811E61" w:rsidP="00811E61">
                      <w:pPr>
                        <w:rPr>
                          <w:rFonts w:cs="Arial"/>
                          <w:szCs w:val="20"/>
                        </w:rPr>
                      </w:pPr>
                    </w:p>
                  </w:txbxContent>
                </v:textbox>
                <w10:wrap type="topAndBottom" anchory="margin"/>
              </v:shape>
            </w:pict>
          </mc:Fallback>
        </mc:AlternateContent>
      </w:r>
    </w:p>
    <w:sectPr w:rsidR="00811E61" w:rsidRPr="00E8352C" w:rsidSect="00811E61">
      <w:headerReference w:type="first" r:id="rId14"/>
      <w:footerReference w:type="first" r:id="rId15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F8F8B" w14:textId="77777777" w:rsidR="003B2707" w:rsidRDefault="003B2707" w:rsidP="00DA1915">
      <w:r>
        <w:separator/>
      </w:r>
    </w:p>
  </w:endnote>
  <w:endnote w:type="continuationSeparator" w:id="0">
    <w:p w14:paraId="6CEA998B" w14:textId="77777777" w:rsidR="003B2707" w:rsidRDefault="003B2707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3DF5D" w14:textId="2FF032E1" w:rsidR="00C94E3C" w:rsidRDefault="00F8430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CDC9D15" wp14:editId="2DE2F268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52696262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DC9D15" id="Rectangle 4" o:spid="_x0000_s1028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52696262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9252" w14:textId="77777777" w:rsidR="003B2707" w:rsidRDefault="003B2707" w:rsidP="00DA1915">
      <w:r>
        <w:separator/>
      </w:r>
    </w:p>
  </w:footnote>
  <w:footnote w:type="continuationSeparator" w:id="0">
    <w:p w14:paraId="1FACF32A" w14:textId="77777777" w:rsidR="003B2707" w:rsidRDefault="003B2707" w:rsidP="00DA1915">
      <w:r>
        <w:continuationSeparator/>
      </w:r>
    </w:p>
  </w:footnote>
  <w:footnote w:id="1">
    <w:p w14:paraId="48A62C30" w14:textId="2184DE4D" w:rsidR="00F84B0B" w:rsidRDefault="00F84B0B">
      <w:pPr>
        <w:pStyle w:val="Allmrkusetekst"/>
      </w:pPr>
      <w:r>
        <w:rPr>
          <w:rStyle w:val="Allmrkuseviide"/>
        </w:rPr>
        <w:footnoteRef/>
      </w:r>
      <w:r>
        <w:t xml:space="preserve"> </w:t>
      </w:r>
      <w:r w:rsidRPr="00F84B0B">
        <w:rPr>
          <w:rFonts w:cs="Arial"/>
          <w:color w:val="000000" w:themeColor="text1"/>
          <w:sz w:val="16"/>
          <w:szCs w:val="16"/>
        </w:rPr>
        <w:t>Justiitsministri 27. oktoobri 2005. a määruse nr 45 „ Maa- ja halduskohtute tööpiirkonnad“ § 2 p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1C700" w14:textId="6F3C8214" w:rsidR="00C94E3C" w:rsidRDefault="00822921">
    <w:pPr>
      <w:pStyle w:val="Pis"/>
    </w:pPr>
    <w:r>
      <w:rPr>
        <w:noProof/>
      </w:rPr>
      <w:drawing>
        <wp:anchor distT="0" distB="0" distL="114300" distR="114300" simplePos="0" relativeHeight="251676672" behindDoc="1" locked="0" layoutInCell="1" allowOverlap="1" wp14:anchorId="00E0AF32" wp14:editId="64173155">
          <wp:simplePos x="0" y="0"/>
          <wp:positionH relativeFrom="margin">
            <wp:align>center</wp:align>
          </wp:positionH>
          <wp:positionV relativeFrom="page">
            <wp:posOffset>-146050</wp:posOffset>
          </wp:positionV>
          <wp:extent cx="1485900" cy="1485900"/>
          <wp:effectExtent l="0" t="0" r="0" b="0"/>
          <wp:wrapTight wrapText="bothSides">
            <wp:wrapPolygon edited="0">
              <wp:start x="0" y="0"/>
              <wp:lineTo x="0" y="21323"/>
              <wp:lineTo x="21323" y="21323"/>
              <wp:lineTo x="21323" y="0"/>
              <wp:lineTo x="0" y="0"/>
            </wp:wrapPolygon>
          </wp:wrapTight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148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</w:rPr>
      <w:drawing>
        <wp:anchor distT="0" distB="0" distL="114300" distR="114300" simplePos="0" relativeHeight="251675648" behindDoc="1" locked="0" layoutInCell="1" allowOverlap="1" wp14:anchorId="56118C56" wp14:editId="5B273E51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3117400" wp14:editId="4373AADD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8EE382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1611F"/>
    <w:multiLevelType w:val="hybridMultilevel"/>
    <w:tmpl w:val="5E32FE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45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DB2"/>
    <w:rsid w:val="000D7F91"/>
    <w:rsid w:val="001444F8"/>
    <w:rsid w:val="00155A80"/>
    <w:rsid w:val="00177939"/>
    <w:rsid w:val="001A0D48"/>
    <w:rsid w:val="001C4756"/>
    <w:rsid w:val="002719AB"/>
    <w:rsid w:val="0038376C"/>
    <w:rsid w:val="003B2707"/>
    <w:rsid w:val="003D41E3"/>
    <w:rsid w:val="003F0460"/>
    <w:rsid w:val="003F6F57"/>
    <w:rsid w:val="00400785"/>
    <w:rsid w:val="004365BC"/>
    <w:rsid w:val="004900A5"/>
    <w:rsid w:val="004A1192"/>
    <w:rsid w:val="0051481A"/>
    <w:rsid w:val="0055716E"/>
    <w:rsid w:val="005C0269"/>
    <w:rsid w:val="006444D2"/>
    <w:rsid w:val="006A69E8"/>
    <w:rsid w:val="006D5809"/>
    <w:rsid w:val="006F02D2"/>
    <w:rsid w:val="0076426C"/>
    <w:rsid w:val="00791DB2"/>
    <w:rsid w:val="00811E61"/>
    <w:rsid w:val="00822921"/>
    <w:rsid w:val="00873A81"/>
    <w:rsid w:val="008A09F5"/>
    <w:rsid w:val="008F0FC9"/>
    <w:rsid w:val="00917448"/>
    <w:rsid w:val="00936DEB"/>
    <w:rsid w:val="0094633F"/>
    <w:rsid w:val="00953641"/>
    <w:rsid w:val="00976A31"/>
    <w:rsid w:val="00997D5B"/>
    <w:rsid w:val="009B5A17"/>
    <w:rsid w:val="00A252B8"/>
    <w:rsid w:val="00A279CA"/>
    <w:rsid w:val="00A3029D"/>
    <w:rsid w:val="00A52543"/>
    <w:rsid w:val="00AB2218"/>
    <w:rsid w:val="00AE7773"/>
    <w:rsid w:val="00B310B5"/>
    <w:rsid w:val="00B57933"/>
    <w:rsid w:val="00B85165"/>
    <w:rsid w:val="00C8651B"/>
    <w:rsid w:val="00C94E3C"/>
    <w:rsid w:val="00CB7D32"/>
    <w:rsid w:val="00CC5B66"/>
    <w:rsid w:val="00CF5094"/>
    <w:rsid w:val="00D36757"/>
    <w:rsid w:val="00DA1915"/>
    <w:rsid w:val="00DD415C"/>
    <w:rsid w:val="00DE4BBF"/>
    <w:rsid w:val="00E349D5"/>
    <w:rsid w:val="00E40D30"/>
    <w:rsid w:val="00E7252F"/>
    <w:rsid w:val="00E8352C"/>
    <w:rsid w:val="00EB0DA6"/>
    <w:rsid w:val="00ED24E6"/>
    <w:rsid w:val="00EE5B65"/>
    <w:rsid w:val="00EE667C"/>
    <w:rsid w:val="00F55873"/>
    <w:rsid w:val="00F8430B"/>
    <w:rsid w:val="00F84B0B"/>
    <w:rsid w:val="00FA3179"/>
    <w:rsid w:val="00FB5702"/>
    <w:rsid w:val="00FC186C"/>
    <w:rsid w:val="00FC2DAD"/>
    <w:rsid w:val="00FD2773"/>
    <w:rsid w:val="00FD4196"/>
    <w:rsid w:val="00F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F4985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Pealdis">
    <w:name w:val="caption"/>
    <w:basedOn w:val="Normaallaad"/>
    <w:next w:val="Normaallaad"/>
    <w:uiPriority w:val="35"/>
    <w:unhideWhenUsed/>
    <w:qFormat/>
    <w:rsid w:val="008A09F5"/>
    <w:pPr>
      <w:spacing w:after="200"/>
    </w:pPr>
    <w:rPr>
      <w:rFonts w:asciiTheme="minorHAnsi" w:hAnsiTheme="minorHAnsi"/>
      <w:i/>
      <w:iCs/>
      <w:color w:val="44546A" w:themeColor="text2"/>
      <w:kern w:val="2"/>
      <w:sz w:val="22"/>
      <w:szCs w:val="18"/>
      <w14:ligatures w14:val="standardContextual"/>
    </w:rPr>
  </w:style>
  <w:style w:type="paragraph" w:styleId="Loendilik">
    <w:name w:val="List Paragraph"/>
    <w:basedOn w:val="Normaallaad"/>
    <w:uiPriority w:val="34"/>
    <w:qFormat/>
    <w:rsid w:val="008A09F5"/>
    <w:pPr>
      <w:spacing w:after="160" w:line="259" w:lineRule="auto"/>
      <w:ind w:left="720"/>
      <w:contextualSpacing/>
    </w:pPr>
    <w:rPr>
      <w:rFonts w:asciiTheme="minorHAnsi" w:hAnsiTheme="minorHAnsi"/>
      <w:kern w:val="2"/>
      <w:sz w:val="22"/>
      <w:szCs w:val="22"/>
      <w14:ligatures w14:val="standardContextual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F84B0B"/>
    <w:rPr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F84B0B"/>
    <w:rPr>
      <w:rFonts w:ascii="Arial" w:hAnsi="Arial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F84B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svg"/><Relationship Id="rId2" Type="http://schemas.openxmlformats.org/officeDocument/2006/relationships/image" Target="media/image8.pn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A41300C-A11D-4B57-BDD4-1648CFD21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915</Words>
  <Characters>5307</Characters>
  <Application>Microsoft Office Word</Application>
  <DocSecurity>0</DocSecurity>
  <Lines>44</Lines>
  <Paragraphs>12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LaEcwador</dc:creator>
  <cp:keywords/>
  <dc:description/>
  <cp:lastModifiedBy>Liina Naaber-Kivisoo</cp:lastModifiedBy>
  <cp:revision>3</cp:revision>
  <dcterms:created xsi:type="dcterms:W3CDTF">2024-08-23T06:51:00Z</dcterms:created>
  <dcterms:modified xsi:type="dcterms:W3CDTF">2024-08-23T06:52:00Z</dcterms:modified>
</cp:coreProperties>
</file>